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27" w:rsidRDefault="004F0037" w:rsidP="00584027">
      <w:pPr>
        <w:pStyle w:val="StandardWeb"/>
        <w:spacing w:after="0"/>
        <w:jc w:val="center"/>
      </w:pPr>
      <w:r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3462655</wp:posOffset>
            </wp:positionH>
            <wp:positionV relativeFrom="paragraph">
              <wp:posOffset>-242570</wp:posOffset>
            </wp:positionV>
            <wp:extent cx="2124075" cy="1333500"/>
            <wp:effectExtent l="19050" t="0" r="9525" b="0"/>
            <wp:wrapTight wrapText="bothSides">
              <wp:wrapPolygon edited="0">
                <wp:start x="-194" y="0"/>
                <wp:lineTo x="-194" y="21291"/>
                <wp:lineTo x="21697" y="21291"/>
                <wp:lineTo x="21697" y="0"/>
                <wp:lineTo x="-194" y="0"/>
              </wp:wrapPolygon>
            </wp:wrapTight>
            <wp:docPr id="2" name="Grafik 0" descr="soil associ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il association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584027">
        <w:rPr>
          <w:b/>
          <w:bCs/>
          <w:sz w:val="40"/>
          <w:szCs w:val="40"/>
          <w:u w:val="single"/>
        </w:rPr>
        <w:t>Soil</w:t>
      </w:r>
      <w:proofErr w:type="spellEnd"/>
      <w:r w:rsidR="00584027">
        <w:rPr>
          <w:b/>
          <w:bCs/>
          <w:sz w:val="40"/>
          <w:szCs w:val="40"/>
          <w:u w:val="single"/>
        </w:rPr>
        <w:t xml:space="preserve"> </w:t>
      </w:r>
      <w:proofErr w:type="spellStart"/>
      <w:r w:rsidR="00584027">
        <w:rPr>
          <w:b/>
          <w:bCs/>
          <w:sz w:val="40"/>
          <w:szCs w:val="40"/>
          <w:u w:val="single"/>
        </w:rPr>
        <w:t>Association</w:t>
      </w:r>
      <w:proofErr w:type="spellEnd"/>
    </w:p>
    <w:p w:rsidR="00584027" w:rsidRDefault="00584027" w:rsidP="00584027">
      <w:pPr>
        <w:pStyle w:val="StandardWeb"/>
        <w:spacing w:after="0"/>
      </w:pPr>
    </w:p>
    <w:p w:rsidR="00584027" w:rsidRDefault="00584027" w:rsidP="00584027">
      <w:pPr>
        <w:pStyle w:val="StandardWeb"/>
        <w:spacing w:after="0"/>
      </w:pPr>
      <w:r>
        <w:rPr>
          <w:rFonts w:ascii="DejaVu Sans" w:hAnsi="DejaVu Sans" w:cs="DejaVu Sans"/>
          <w:b/>
          <w:bCs/>
          <w:sz w:val="27"/>
          <w:szCs w:val="27"/>
        </w:rPr>
        <w:t>Zur Organisation</w:t>
      </w:r>
    </w:p>
    <w:p w:rsidR="004D1BBB" w:rsidRDefault="00584027" w:rsidP="00584027">
      <w:pPr>
        <w:pStyle w:val="StandardWeb"/>
        <w:spacing w:after="0"/>
        <w:rPr>
          <w:rFonts w:ascii="DejaVu Sans" w:hAnsi="DejaVu Sans" w:cs="DejaVu Sans"/>
        </w:rPr>
      </w:pPr>
      <w:proofErr w:type="spellStart"/>
      <w:r>
        <w:rPr>
          <w:rFonts w:ascii="DejaVu Sans" w:hAnsi="DejaVu Sans" w:cs="DejaVu Sans"/>
        </w:rPr>
        <w:t>Soil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Association</w:t>
      </w:r>
      <w:proofErr w:type="spellEnd"/>
      <w:r>
        <w:rPr>
          <w:rFonts w:ascii="DejaVu Sans" w:hAnsi="DejaVu Sans" w:cs="DejaVu Sans"/>
        </w:rPr>
        <w:t xml:space="preserve"> ist eine britische Organisation, die Bio-Siegel an </w:t>
      </w:r>
      <w:r w:rsidR="004D1BBB">
        <w:rPr>
          <w:rFonts w:ascii="DejaVu Sans" w:hAnsi="DejaVu Sans" w:cs="DejaVu Sans"/>
        </w:rPr>
        <w:t xml:space="preserve">Produkte aus </w:t>
      </w:r>
      <w:r>
        <w:rPr>
          <w:rFonts w:ascii="DejaVu Sans" w:hAnsi="DejaVu Sans" w:cs="DejaVu Sans"/>
        </w:rPr>
        <w:t xml:space="preserve"> </w:t>
      </w:r>
      <w:r w:rsidR="004D1BBB">
        <w:rPr>
          <w:rFonts w:ascii="DejaVu Sans" w:hAnsi="DejaVu Sans" w:cs="DejaVu Sans"/>
        </w:rPr>
        <w:t>Kosmetik, Bekleidung, Textilien</w:t>
      </w:r>
      <w:r>
        <w:rPr>
          <w:rFonts w:ascii="DejaVu Sans" w:hAnsi="DejaVu Sans" w:cs="DejaVu Sans"/>
        </w:rPr>
        <w:t xml:space="preserve"> </w:t>
      </w:r>
      <w:r w:rsidR="004D1BBB">
        <w:rPr>
          <w:rFonts w:ascii="DejaVu Sans" w:hAnsi="DejaVu Sans" w:cs="DejaVu Sans"/>
        </w:rPr>
        <w:t xml:space="preserve">und Lebensmittel </w:t>
      </w:r>
      <w:r>
        <w:rPr>
          <w:rFonts w:ascii="DejaVu Sans" w:hAnsi="DejaVu Sans" w:cs="DejaVu Sans"/>
        </w:rPr>
        <w:t xml:space="preserve">vergibt. Es ist in Großbritannien eins der bekanntesten Siegel. Etwa 80% der britischen Bio-Lebensmittel werden von der </w:t>
      </w:r>
      <w:proofErr w:type="spellStart"/>
      <w:r>
        <w:rPr>
          <w:rFonts w:ascii="DejaVu Sans" w:hAnsi="DejaVu Sans" w:cs="DejaVu Sans"/>
        </w:rPr>
        <w:t>Soil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Association</w:t>
      </w:r>
      <w:proofErr w:type="spellEnd"/>
      <w:r>
        <w:rPr>
          <w:rFonts w:ascii="DejaVu Sans" w:hAnsi="DejaVu Sans" w:cs="DejaVu Sans"/>
        </w:rPr>
        <w:t xml:space="preserve"> zertifiziert. </w:t>
      </w:r>
      <w:r w:rsidR="004D1BBB">
        <w:rPr>
          <w:rFonts w:ascii="DejaVu Sans" w:hAnsi="DejaVu Sans" w:cs="DejaVu Sans"/>
        </w:rPr>
        <w:tab/>
      </w:r>
    </w:p>
    <w:p w:rsidR="00584027" w:rsidRPr="00584027" w:rsidRDefault="00584027" w:rsidP="00584027">
      <w:pPr>
        <w:pStyle w:val="StandardWeb"/>
        <w:spacing w:after="0"/>
        <w:rPr>
          <w:lang w:val="en-US"/>
        </w:rPr>
      </w:pPr>
      <w:r w:rsidRPr="00584027">
        <w:rPr>
          <w:rFonts w:ascii="DejaVu Sans" w:hAnsi="DejaVu Sans" w:cs="DejaVu Sans"/>
          <w:lang w:val="en-US"/>
        </w:rPr>
        <w:t xml:space="preserve">Das Motto von Soil Association </w:t>
      </w:r>
      <w:proofErr w:type="spellStart"/>
      <w:proofErr w:type="gramStart"/>
      <w:r w:rsidRPr="00584027">
        <w:rPr>
          <w:rFonts w:ascii="DejaVu Sans" w:hAnsi="DejaVu Sans" w:cs="DejaVu Sans"/>
          <w:lang w:val="en-US"/>
        </w:rPr>
        <w:t>ist</w:t>
      </w:r>
      <w:proofErr w:type="spellEnd"/>
      <w:proofErr w:type="gramEnd"/>
      <w:r w:rsidRPr="00584027">
        <w:rPr>
          <w:rFonts w:ascii="DejaVu Sans" w:hAnsi="DejaVu Sans" w:cs="DejaVu Sans"/>
          <w:lang w:val="en-US"/>
        </w:rPr>
        <w:t xml:space="preserve"> „healthy soil, healthy people, healthy planet“.</w:t>
      </w:r>
    </w:p>
    <w:p w:rsidR="00584027" w:rsidRDefault="00584027" w:rsidP="00584027">
      <w:pPr>
        <w:pStyle w:val="StandardWeb"/>
        <w:spacing w:after="0"/>
      </w:pPr>
      <w:r>
        <w:rPr>
          <w:rFonts w:ascii="DejaVu Sans" w:hAnsi="DejaVu Sans" w:cs="DejaVu Sans"/>
        </w:rPr>
        <w:t xml:space="preserve">Es wurde 1946 von einer Gruppe aus Bauern, Wissenschaftlern und Ernährungsberatern gegründet, 1967 gab es die ersten </w:t>
      </w:r>
      <w:proofErr w:type="spellStart"/>
      <w:r>
        <w:rPr>
          <w:rFonts w:ascii="DejaVu Sans" w:hAnsi="DejaVu Sans" w:cs="DejaVu Sans"/>
        </w:rPr>
        <w:t>Soil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Association</w:t>
      </w:r>
      <w:proofErr w:type="spellEnd"/>
      <w:r>
        <w:rPr>
          <w:rFonts w:ascii="DejaVu Sans" w:hAnsi="DejaVu Sans" w:cs="DejaVu Sans"/>
        </w:rPr>
        <w:t xml:space="preserve"> Standards, seit 1973 existiert das Zertifizierungssystem.</w:t>
      </w:r>
    </w:p>
    <w:p w:rsidR="00584027" w:rsidRDefault="00584027" w:rsidP="00584027">
      <w:pPr>
        <w:pStyle w:val="StandardWeb"/>
        <w:spacing w:after="0"/>
      </w:pPr>
      <w:r w:rsidRPr="004D1BBB">
        <w:rPr>
          <w:rFonts w:ascii="DejaVu Sans" w:hAnsi="DejaVu Sans" w:cs="DejaVu Sans"/>
        </w:rPr>
        <w:t>Mitgründer waren unter anderem die britische Farmerin und</w:t>
      </w:r>
      <w:r>
        <w:rPr>
          <w:rFonts w:ascii="DejaVu Sans" w:hAnsi="DejaVu Sans" w:cs="DejaVu Sans"/>
        </w:rPr>
        <w:t xml:space="preserve"> Agrarwissenschaftlerin Eve Balfour, die unter anderem großen Einfluss auf die weitere Entwicklung des biologischen Landbaus im englischsprachigen Raum hatte, sowie </w:t>
      </w:r>
      <w:proofErr w:type="spellStart"/>
      <w:r>
        <w:rPr>
          <w:rFonts w:ascii="DejaVu Sans" w:hAnsi="DejaVu Sans" w:cs="DejaVu Sans"/>
        </w:rPr>
        <w:t>Jorian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Jenks</w:t>
      </w:r>
      <w:proofErr w:type="spellEnd"/>
      <w:r>
        <w:rPr>
          <w:rFonts w:ascii="DejaVu Sans" w:hAnsi="DejaVu Sans" w:cs="DejaVu Sans"/>
        </w:rPr>
        <w:t xml:space="preserve">. Eine Schlüsselperson war Monty Don, der seit 2008 Vorsitzender der </w:t>
      </w:r>
      <w:proofErr w:type="spellStart"/>
      <w:r>
        <w:rPr>
          <w:rFonts w:ascii="DejaVu Sans" w:hAnsi="DejaVu Sans" w:cs="DejaVu Sans"/>
        </w:rPr>
        <w:t>Soil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Assiciation</w:t>
      </w:r>
      <w:proofErr w:type="spellEnd"/>
      <w:r>
        <w:rPr>
          <w:rFonts w:ascii="DejaVu Sans" w:hAnsi="DejaVu Sans" w:cs="DejaVu Sans"/>
        </w:rPr>
        <w:t xml:space="preserve"> ist.</w:t>
      </w:r>
    </w:p>
    <w:p w:rsidR="00584027" w:rsidRDefault="00584027" w:rsidP="00584027">
      <w:pPr>
        <w:pStyle w:val="StandardWeb"/>
        <w:spacing w:after="0"/>
      </w:pPr>
      <w:r>
        <w:rPr>
          <w:rFonts w:ascii="DejaVu Sans" w:hAnsi="DejaVu Sans" w:cs="DejaVu Sans"/>
        </w:rPr>
        <w:t xml:space="preserve">In den 70er Jahren erfuhr </w:t>
      </w:r>
      <w:proofErr w:type="spellStart"/>
      <w:r>
        <w:rPr>
          <w:rFonts w:ascii="DejaVu Sans" w:hAnsi="DejaVu Sans" w:cs="DejaVu Sans"/>
        </w:rPr>
        <w:t>Soil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Association</w:t>
      </w:r>
      <w:proofErr w:type="spellEnd"/>
      <w:r>
        <w:rPr>
          <w:rFonts w:ascii="DejaVu Sans" w:hAnsi="DejaVu Sans" w:cs="DejaVu Sans"/>
        </w:rPr>
        <w:t xml:space="preserve"> einen Aufschwung im Handel, da die Nachfrage nach Bio-Produkten stieg und auch mehr Bio-Produkte in den Märkten verkauft wurden. </w:t>
      </w:r>
    </w:p>
    <w:p w:rsidR="00584027" w:rsidRDefault="00584027" w:rsidP="00584027">
      <w:pPr>
        <w:pStyle w:val="StandardWeb"/>
        <w:spacing w:after="0"/>
        <w:rPr>
          <w:rFonts w:ascii="DejaVu Sans" w:hAnsi="DejaVu Sans" w:cs="DejaVu Sans"/>
          <w:b/>
          <w:bCs/>
          <w:sz w:val="27"/>
          <w:szCs w:val="27"/>
        </w:rPr>
      </w:pPr>
      <w:r>
        <w:rPr>
          <w:rFonts w:ascii="DejaVu Sans" w:hAnsi="DejaVu Sans" w:cs="DejaVu Sans"/>
          <w:b/>
          <w:bCs/>
          <w:sz w:val="27"/>
          <w:szCs w:val="27"/>
        </w:rPr>
        <w:t>Standards</w:t>
      </w:r>
    </w:p>
    <w:p w:rsidR="00584027" w:rsidRPr="00584027" w:rsidRDefault="00584027" w:rsidP="00584027">
      <w:pPr>
        <w:spacing w:before="100" w:beforeAutospacing="1" w:after="100" w:afterAutospacing="1" w:line="240" w:lineRule="auto"/>
        <w:outlineLvl w:val="2"/>
        <w:rPr>
          <w:rFonts w:ascii="DejaVu Sans" w:eastAsia="Times New Roman" w:hAnsi="DejaVu Sans" w:cs="DejaVu Sans"/>
          <w:b/>
          <w:bCs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b/>
          <w:bCs/>
          <w:sz w:val="24"/>
          <w:szCs w:val="24"/>
          <w:lang w:eastAsia="de-DE"/>
        </w:rPr>
        <w:t xml:space="preserve">Ökologische Kriterien: </w:t>
      </w:r>
    </w:p>
    <w:p w:rsidR="00584027" w:rsidRPr="00584027" w:rsidRDefault="00584027" w:rsidP="0058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 xml:space="preserve">Bekleidung muss zu 90 % aus </w:t>
      </w:r>
      <w:hyperlink r:id="rId6" w:tooltip="Textilfasern" w:history="1">
        <w:r w:rsidRPr="00BB59F1">
          <w:rPr>
            <w:rFonts w:ascii="DejaVu Sans" w:eastAsia="Times New Roman" w:hAnsi="DejaVu Sans" w:cs="DejaVu Sans"/>
            <w:sz w:val="24"/>
            <w:szCs w:val="24"/>
            <w:lang w:eastAsia="de-DE"/>
          </w:rPr>
          <w:t>Naturfasern</w:t>
        </w:r>
      </w:hyperlink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 xml:space="preserve"> bestehen</w:t>
      </w:r>
    </w:p>
    <w:p w:rsidR="00584027" w:rsidRPr="00584027" w:rsidRDefault="00584027" w:rsidP="0058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je nach Siegelversion 70% oder 95% der Fasern aus biologischem Anbau</w:t>
      </w:r>
    </w:p>
    <w:p w:rsidR="00584027" w:rsidRPr="00584027" w:rsidRDefault="00584027" w:rsidP="0058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keine Verarbeitung von genmanipuliertem Saatgut</w:t>
      </w:r>
    </w:p>
    <w:p w:rsidR="00584027" w:rsidRPr="00584027" w:rsidRDefault="00584027" w:rsidP="0058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Ressourcenschonende Produktion: Kein PVC in der Verpackung</w:t>
      </w:r>
    </w:p>
    <w:p w:rsidR="00584027" w:rsidRPr="00584027" w:rsidRDefault="00584027" w:rsidP="0058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Konzept zu betrieblichen Umweltmanagement erforderlich</w:t>
      </w:r>
    </w:p>
    <w:p w:rsidR="00584027" w:rsidRPr="00584027" w:rsidRDefault="00584027" w:rsidP="0058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Verwendung von ökologisch und toxikologisch unbedenklichen Farben und Hilfsmitteln</w:t>
      </w:r>
    </w:p>
    <w:p w:rsidR="00584027" w:rsidRPr="00584027" w:rsidRDefault="00584027" w:rsidP="005840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Prüfung der Kriterien an jeder Produktionsstufe</w:t>
      </w:r>
    </w:p>
    <w:p w:rsidR="00584027" w:rsidRPr="00584027" w:rsidRDefault="00584027" w:rsidP="00584027">
      <w:pPr>
        <w:spacing w:before="100" w:beforeAutospacing="1" w:after="100" w:afterAutospacing="1" w:line="240" w:lineRule="auto"/>
        <w:outlineLvl w:val="2"/>
        <w:rPr>
          <w:rFonts w:ascii="DejaVu Sans" w:eastAsia="Times New Roman" w:hAnsi="DejaVu Sans" w:cs="DejaVu Sans"/>
          <w:b/>
          <w:bCs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b/>
          <w:bCs/>
          <w:sz w:val="24"/>
          <w:szCs w:val="24"/>
          <w:lang w:eastAsia="de-DE"/>
        </w:rPr>
        <w:t>Soziale Kriterien:</w:t>
      </w:r>
    </w:p>
    <w:p w:rsidR="00584027" w:rsidRPr="00BB59F1" w:rsidRDefault="00584027" w:rsidP="00584027">
      <w:p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hyperlink r:id="rId7" w:tooltip="ILO Kernarbeitsnormen" w:history="1">
        <w:r w:rsidRPr="00BB59F1">
          <w:rPr>
            <w:rFonts w:ascii="DejaVu Sans" w:eastAsia="Times New Roman" w:hAnsi="DejaVu Sans" w:cs="DejaVu Sans"/>
            <w:sz w:val="24"/>
            <w:szCs w:val="24"/>
            <w:lang w:eastAsia="de-DE"/>
          </w:rPr>
          <w:t>ILO-Kernarbeitsnormen</w:t>
        </w:r>
      </w:hyperlink>
      <w:r w:rsidRPr="00BB59F1">
        <w:rPr>
          <w:rFonts w:ascii="DejaVu Sans" w:eastAsia="Times New Roman" w:hAnsi="DejaVu Sans" w:cs="DejaVu Sans"/>
          <w:sz w:val="24"/>
          <w:szCs w:val="24"/>
          <w:lang w:eastAsia="de-DE"/>
        </w:rPr>
        <w:t>, zu denen folgende Übereinkommen gehören:</w:t>
      </w:r>
    </w:p>
    <w:p w:rsidR="00584027" w:rsidRPr="00BB59F1" w:rsidRDefault="00584027" w:rsidP="00584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Beseitigung der Zwangs- oder Pflichtarbeit</w:t>
      </w:r>
    </w:p>
    <w:p w:rsidR="00584027" w:rsidRPr="00BB59F1" w:rsidRDefault="00584027" w:rsidP="00584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Vereinigungsfreiheit und Schutz des Vereinigungsrechtes</w:t>
      </w:r>
    </w:p>
    <w:p w:rsidR="00584027" w:rsidRPr="00BB59F1" w:rsidRDefault="00584027" w:rsidP="00584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Vereinigungsrecht und Recht zu Kollektivverhandlungen</w:t>
      </w:r>
    </w:p>
    <w:p w:rsidR="00584027" w:rsidRPr="00BB59F1" w:rsidRDefault="00584027" w:rsidP="00584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Gleichheit des Entgelts</w:t>
      </w:r>
    </w:p>
    <w:p w:rsidR="00584027" w:rsidRPr="00BB59F1" w:rsidRDefault="00584027" w:rsidP="00584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lastRenderedPageBreak/>
        <w:t>Abschaffung der Zwangsarbeit</w:t>
      </w:r>
    </w:p>
    <w:p w:rsidR="00584027" w:rsidRPr="00BB59F1" w:rsidRDefault="00584027" w:rsidP="00584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Beseitigung der Diskriminierung in Beschäftigung und Beruf</w:t>
      </w:r>
    </w:p>
    <w:p w:rsidR="00584027" w:rsidRPr="00BB59F1" w:rsidRDefault="00584027" w:rsidP="00584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Mindestalter für die Zulassung zur Beschäftigung</w:t>
      </w:r>
    </w:p>
    <w:p w:rsidR="00584027" w:rsidRPr="00BB59F1" w:rsidRDefault="00584027" w:rsidP="005840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DejaVu Sans" w:eastAsia="Times New Roman" w:hAnsi="DejaVu Sans" w:cs="DejaVu Sans"/>
          <w:sz w:val="24"/>
          <w:szCs w:val="24"/>
          <w:lang w:eastAsia="de-DE"/>
        </w:rPr>
      </w:pPr>
      <w:r w:rsidRPr="00584027">
        <w:rPr>
          <w:rFonts w:ascii="DejaVu Sans" w:eastAsia="Times New Roman" w:hAnsi="DejaVu Sans" w:cs="DejaVu Sans"/>
          <w:sz w:val="24"/>
          <w:szCs w:val="24"/>
          <w:lang w:eastAsia="de-DE"/>
        </w:rPr>
        <w:t>Verbot und unverzügliche Maßnahmen zur Beseitigung der schlimmsten Formen der Kinderarbeit</w:t>
      </w:r>
    </w:p>
    <w:p w:rsidR="00584027" w:rsidRPr="00BB59F1" w:rsidRDefault="00584027" w:rsidP="00584027">
      <w:pPr>
        <w:pStyle w:val="StandardWeb"/>
        <w:spacing w:after="0"/>
        <w:rPr>
          <w:rFonts w:ascii="DejaVu Sans" w:hAnsi="DejaVu Sans" w:cs="DejaVu Sans"/>
        </w:rPr>
      </w:pPr>
      <w:r w:rsidRPr="005A54E3">
        <w:rPr>
          <w:rFonts w:ascii="DejaVu Sans" w:hAnsi="DejaVu Sans" w:cs="DejaVu Sans"/>
          <w:sz w:val="16"/>
          <w:szCs w:val="16"/>
        </w:rPr>
        <w:t xml:space="preserve">Quelle: </w:t>
      </w:r>
      <w:hyperlink r:id="rId8" w:history="1">
        <w:r w:rsidRPr="00BB59F1">
          <w:rPr>
            <w:rStyle w:val="Hyperlink"/>
            <w:rFonts w:ascii="DejaVu Sans" w:hAnsi="DejaVu Sans" w:cs="DejaVu Sans"/>
            <w:sz w:val="16"/>
            <w:szCs w:val="16"/>
          </w:rPr>
          <w:t>http://www.bmz.de/de/was_wir_machen/themen/wirtschaft/sozialstandards/kernarbeitsnormen/index.html</w:t>
        </w:r>
      </w:hyperlink>
      <w:r w:rsidRPr="00BB59F1">
        <w:rPr>
          <w:rFonts w:ascii="DejaVu Sans" w:hAnsi="DejaVu Sans" w:cs="DejaVu Sans"/>
          <w:sz w:val="16"/>
          <w:szCs w:val="16"/>
        </w:rPr>
        <w:t>, Stand 01/2014</w:t>
      </w:r>
    </w:p>
    <w:p w:rsidR="00584027" w:rsidRDefault="004D1BBB" w:rsidP="00584027">
      <w:pPr>
        <w:pStyle w:val="StandardWeb"/>
        <w:spacing w:after="0"/>
        <w:rPr>
          <w:rFonts w:ascii="DejaVu Sans" w:hAnsi="DejaVu Sans" w:cs="DejaVu Sans"/>
          <w:b/>
          <w:bCs/>
          <w:sz w:val="27"/>
          <w:szCs w:val="27"/>
        </w:rPr>
      </w:pPr>
      <w:r>
        <w:rPr>
          <w:rFonts w:ascii="DejaVu Sans" w:hAnsi="DejaVu Sans" w:cs="DejaVu Sans"/>
          <w:b/>
          <w:bCs/>
          <w:sz w:val="27"/>
          <w:szCs w:val="27"/>
        </w:rPr>
        <w:t>Kontrollen</w:t>
      </w:r>
    </w:p>
    <w:p w:rsidR="004D1BBB" w:rsidRDefault="004D1BBB" w:rsidP="004D1BBB">
      <w:pPr>
        <w:pStyle w:val="StandardWeb"/>
        <w:spacing w:after="0"/>
      </w:pPr>
      <w:r>
        <w:rPr>
          <w:rFonts w:ascii="DejaVu Sans" w:hAnsi="DejaVu Sans" w:cs="DejaVu Sans"/>
        </w:rPr>
        <w:t xml:space="preserve">Kontrolliert wird es zum einen durch </w:t>
      </w:r>
      <w:proofErr w:type="spellStart"/>
      <w:r>
        <w:rPr>
          <w:rFonts w:ascii="DejaVu Sans" w:hAnsi="DejaVu Sans" w:cs="DejaVu Sans"/>
        </w:rPr>
        <w:t>Soil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Association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Certification</w:t>
      </w:r>
      <w:proofErr w:type="spellEnd"/>
      <w:r>
        <w:rPr>
          <w:rFonts w:ascii="DejaVu Sans" w:hAnsi="DejaVu Sans" w:cs="DejaVu Sans"/>
        </w:rPr>
        <w:t xml:space="preserve"> selbst, und zum anderen durch von GOTS akkreditierten Prüfinstituten. </w:t>
      </w:r>
    </w:p>
    <w:p w:rsidR="004D1BBB" w:rsidRDefault="004D1BBB" w:rsidP="004D1BBB">
      <w:pPr>
        <w:pStyle w:val="StandardWeb"/>
        <w:spacing w:after="0"/>
      </w:pPr>
      <w:r>
        <w:rPr>
          <w:rFonts w:ascii="DejaVu Sans" w:hAnsi="DejaVu Sans" w:cs="DejaVu Sans"/>
        </w:rPr>
        <w:t>Es gibt angekündigte, sowie unangekündigte Kontrollen, besonders, wenn Verdacht besteht, dass die Kriterien nicht eingehalten werden.</w:t>
      </w:r>
    </w:p>
    <w:p w:rsidR="00584027" w:rsidRDefault="00584027" w:rsidP="00584027">
      <w:pPr>
        <w:pStyle w:val="StandardWeb"/>
        <w:spacing w:after="0"/>
      </w:pPr>
      <w:r>
        <w:rPr>
          <w:rFonts w:ascii="DejaVu Sans" w:hAnsi="DejaVu Sans" w:cs="DejaVu Sans"/>
          <w:b/>
          <w:bCs/>
          <w:sz w:val="27"/>
          <w:szCs w:val="27"/>
        </w:rPr>
        <w:t>Bewertung</w:t>
      </w:r>
    </w:p>
    <w:p w:rsidR="00584027" w:rsidRDefault="00584027" w:rsidP="00584027">
      <w:pPr>
        <w:pStyle w:val="StandardWeb"/>
        <w:spacing w:after="0"/>
      </w:pPr>
      <w:r>
        <w:rPr>
          <w:rFonts w:ascii="DejaVu Sans" w:hAnsi="DejaVu Sans" w:cs="DejaVu Sans"/>
        </w:rPr>
        <w:t>Die Inhaltsstoffe müssen zu mindestens 97% aus kontrolliert ökologischem Anbau kommen, sie dürfen auch nicht mit Pestiziden oder Ähnlichem behandelt worden sein, die Veränderung des genetischen Materials ist auch verboten.</w:t>
      </w:r>
    </w:p>
    <w:p w:rsidR="00584027" w:rsidRPr="004D1BBB" w:rsidRDefault="00584027" w:rsidP="00584027">
      <w:pPr>
        <w:pStyle w:val="StandardWeb"/>
        <w:spacing w:after="0"/>
        <w:rPr>
          <w:rFonts w:ascii="DejaVu Sans" w:hAnsi="DejaVu Sans" w:cs="DejaVu Sans"/>
        </w:rPr>
      </w:pPr>
      <w:r>
        <w:rPr>
          <w:rFonts w:ascii="DejaVu Sans" w:hAnsi="DejaVu Sans" w:cs="DejaVu Sans"/>
        </w:rPr>
        <w:t xml:space="preserve">Bei dieser Regelung gibt es allerdings zwei Unterteilungen: </w:t>
      </w:r>
      <w:r w:rsidR="004D1BBB">
        <w:rPr>
          <w:rFonts w:ascii="DejaVu Sans" w:hAnsi="DejaVu Sans" w:cs="DejaVu Sans"/>
        </w:rPr>
        <w:t>D</w:t>
      </w:r>
      <w:r>
        <w:rPr>
          <w:rFonts w:ascii="DejaVu Sans" w:hAnsi="DejaVu Sans" w:cs="DejaVu Sans"/>
        </w:rPr>
        <w:t xml:space="preserve">as normale Gütesiegel (mind. 95%) und „Made </w:t>
      </w:r>
      <w:proofErr w:type="spellStart"/>
      <w:r>
        <w:rPr>
          <w:rFonts w:ascii="DejaVu Sans" w:hAnsi="DejaVu Sans" w:cs="DejaVu Sans"/>
        </w:rPr>
        <w:t>with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Organic</w:t>
      </w:r>
      <w:proofErr w:type="spellEnd"/>
      <w:r>
        <w:rPr>
          <w:rFonts w:ascii="DejaVu Sans" w:hAnsi="DejaVu Sans" w:cs="DejaVu Sans"/>
        </w:rPr>
        <w:t xml:space="preserve"> </w:t>
      </w:r>
      <w:proofErr w:type="spellStart"/>
      <w:r>
        <w:rPr>
          <w:rFonts w:ascii="DejaVu Sans" w:hAnsi="DejaVu Sans" w:cs="DejaVu Sans"/>
        </w:rPr>
        <w:t>Ingredients</w:t>
      </w:r>
      <w:proofErr w:type="spellEnd"/>
      <w:r>
        <w:rPr>
          <w:rFonts w:ascii="DejaVu Sans" w:hAnsi="DejaVu Sans" w:cs="DejaVu Sans"/>
        </w:rPr>
        <w:t>“ (mind. 70%). Außerdem ist es bei manchen Produkten wie Kosmetika erlaubt, wenig nicht organische Stoffe zu benutzen, wenn es nicht anders geht.</w:t>
      </w:r>
    </w:p>
    <w:p w:rsidR="00584027" w:rsidRPr="00BB59F1" w:rsidRDefault="004D1BBB" w:rsidP="00584027">
      <w:pPr>
        <w:pStyle w:val="StandardWeb"/>
        <w:spacing w:after="0"/>
        <w:rPr>
          <w:rFonts w:ascii="DejaVu Sans" w:hAnsi="DejaVu Sans" w:cs="DejaVu Sans"/>
        </w:rPr>
      </w:pPr>
      <w:r w:rsidRPr="00BB59F1">
        <w:rPr>
          <w:rFonts w:ascii="DejaVu Sans" w:hAnsi="DejaVu Sans" w:cs="DejaVu Sans"/>
        </w:rPr>
        <w:t>Kritisch anzumerken ist allerdings, dass man sich nicht für die Einhaltung von Existenzlöhnen einsetzt.</w:t>
      </w:r>
    </w:p>
    <w:p w:rsidR="00584027" w:rsidRDefault="00584027" w:rsidP="00584027">
      <w:pPr>
        <w:pStyle w:val="StandardWeb"/>
        <w:spacing w:after="0"/>
        <w:rPr>
          <w:rFonts w:ascii="Arial Black" w:hAnsi="Arial Black"/>
          <w:b/>
          <w:bCs/>
          <w:sz w:val="22"/>
          <w:szCs w:val="22"/>
        </w:rPr>
      </w:pPr>
      <w:r w:rsidRPr="00BB59F1">
        <w:rPr>
          <w:rFonts w:ascii="Arial Black" w:hAnsi="Arial Black"/>
          <w:b/>
          <w:bCs/>
          <w:sz w:val="22"/>
          <w:szCs w:val="22"/>
        </w:rPr>
        <w:t>Sina, Phoebe</w:t>
      </w:r>
    </w:p>
    <w:p w:rsidR="00BB59F1" w:rsidRPr="00BB59F1" w:rsidRDefault="00BB59F1" w:rsidP="00584027">
      <w:pPr>
        <w:pStyle w:val="StandardWeb"/>
        <w:spacing w:after="0"/>
      </w:pPr>
    </w:p>
    <w:p w:rsidR="005A54E3" w:rsidRDefault="005A54E3" w:rsidP="00BB59F1">
      <w:pPr>
        <w:pStyle w:val="StandardWeb"/>
        <w:spacing w:after="0"/>
        <w:contextualSpacing/>
        <w:rPr>
          <w:rFonts w:ascii="DejaVu Sans" w:hAnsi="DejaVu Sans" w:cs="DejaVu Sans"/>
          <w:sz w:val="22"/>
          <w:szCs w:val="22"/>
        </w:rPr>
      </w:pPr>
      <w:r>
        <w:rPr>
          <w:rFonts w:ascii="DejaVu Sans" w:hAnsi="DejaVu Sans" w:cs="DejaVu Sans"/>
          <w:sz w:val="22"/>
          <w:szCs w:val="22"/>
        </w:rPr>
        <w:t xml:space="preserve">Weitere </w:t>
      </w:r>
      <w:r w:rsidR="00584027" w:rsidRPr="00BB59F1">
        <w:rPr>
          <w:rFonts w:ascii="DejaVu Sans" w:hAnsi="DejaVu Sans" w:cs="DejaVu Sans"/>
          <w:sz w:val="22"/>
          <w:szCs w:val="22"/>
        </w:rPr>
        <w:t xml:space="preserve">Quellen: </w:t>
      </w:r>
    </w:p>
    <w:p w:rsidR="00584027" w:rsidRPr="00BB59F1" w:rsidRDefault="00584027" w:rsidP="00BB59F1">
      <w:pPr>
        <w:pStyle w:val="StandardWeb"/>
        <w:spacing w:after="0"/>
        <w:contextualSpacing/>
      </w:pPr>
      <w:r w:rsidRPr="00BB59F1">
        <w:rPr>
          <w:rFonts w:ascii="DejaVu Sans" w:hAnsi="DejaVu Sans" w:cs="DejaVu Sans"/>
          <w:sz w:val="22"/>
          <w:szCs w:val="22"/>
        </w:rPr>
        <w:t>www.soilassociation.org</w:t>
      </w:r>
      <w:r w:rsidRPr="00BB59F1">
        <w:rPr>
          <w:rFonts w:ascii="DejaVu Sans" w:hAnsi="DejaVu Sans" w:cs="DejaVu Sans"/>
          <w:sz w:val="22"/>
          <w:szCs w:val="22"/>
        </w:rPr>
        <w:br/>
      </w:r>
      <w:hyperlink r:id="rId9" w:history="1">
        <w:r w:rsidR="00BB59F1" w:rsidRPr="00BB59F1">
          <w:rPr>
            <w:rStyle w:val="Hyperlink"/>
            <w:rFonts w:ascii="DejaVu Sans" w:hAnsi="DejaVu Sans" w:cs="DejaVu Sans"/>
            <w:color w:val="auto"/>
            <w:sz w:val="22"/>
            <w:szCs w:val="22"/>
            <w:u w:val="none"/>
          </w:rPr>
          <w:t>www.bio-info.eu</w:t>
        </w:r>
      </w:hyperlink>
      <w:r w:rsidR="00BB59F1" w:rsidRPr="00BB59F1">
        <w:rPr>
          <w:rFonts w:ascii="DejaVu Sans" w:hAnsi="DejaVu Sans" w:cs="DejaVu Sans"/>
          <w:sz w:val="22"/>
          <w:szCs w:val="22"/>
        </w:rPr>
        <w:tab/>
      </w:r>
      <w:r w:rsidR="00BB59F1" w:rsidRPr="00BB59F1">
        <w:rPr>
          <w:rFonts w:ascii="DejaVu Sans" w:hAnsi="DejaVu Sans" w:cs="DejaVu Sans"/>
          <w:sz w:val="22"/>
          <w:szCs w:val="22"/>
        </w:rPr>
        <w:tab/>
      </w:r>
      <w:r w:rsidR="00BB59F1" w:rsidRPr="00BB59F1">
        <w:rPr>
          <w:rFonts w:ascii="DejaVu Sans" w:hAnsi="DejaVu Sans" w:cs="DejaVu Sans"/>
          <w:sz w:val="22"/>
          <w:szCs w:val="22"/>
        </w:rPr>
        <w:tab/>
      </w:r>
      <w:r w:rsidR="00BB59F1" w:rsidRPr="00BB59F1">
        <w:rPr>
          <w:rFonts w:ascii="DejaVu Sans" w:hAnsi="DejaVu Sans" w:cs="DejaVu Sans"/>
          <w:sz w:val="22"/>
          <w:szCs w:val="22"/>
        </w:rPr>
        <w:tab/>
      </w:r>
      <w:r w:rsidR="00BB59F1" w:rsidRPr="00BB59F1">
        <w:rPr>
          <w:rFonts w:ascii="DejaVu Sans" w:hAnsi="DejaVu Sans" w:cs="DejaVu Sans"/>
          <w:sz w:val="22"/>
          <w:szCs w:val="22"/>
        </w:rPr>
        <w:tab/>
      </w:r>
      <w:r w:rsidR="00BB59F1" w:rsidRPr="00BB59F1">
        <w:rPr>
          <w:rFonts w:ascii="DejaVu Sans" w:hAnsi="DejaVu Sans" w:cs="DejaVu Sans"/>
          <w:sz w:val="22"/>
          <w:szCs w:val="22"/>
        </w:rPr>
        <w:tab/>
      </w:r>
      <w:r w:rsidR="00BB59F1" w:rsidRPr="00BB59F1">
        <w:rPr>
          <w:rFonts w:ascii="DejaVu Sans" w:hAnsi="DejaVu Sans" w:cs="DejaVu Sans"/>
          <w:sz w:val="22"/>
          <w:szCs w:val="22"/>
        </w:rPr>
        <w:tab/>
        <w:t xml:space="preserve">    </w:t>
      </w:r>
      <w:hyperlink r:id="rId10" w:history="1">
        <w:r w:rsidRPr="00BB59F1">
          <w:rPr>
            <w:rStyle w:val="Hyperlink"/>
            <w:rFonts w:ascii="DejaVu Sans" w:hAnsi="DejaVu Sans" w:cs="DejaVu Sans"/>
            <w:color w:val="auto"/>
            <w:sz w:val="22"/>
            <w:szCs w:val="22"/>
            <w:u w:val="none"/>
          </w:rPr>
          <w:t>www.emissionslos.com</w:t>
        </w:r>
      </w:hyperlink>
    </w:p>
    <w:p w:rsidR="00584027" w:rsidRPr="00BB59F1" w:rsidRDefault="00584027" w:rsidP="00BB59F1">
      <w:pPr>
        <w:pStyle w:val="StandardWeb"/>
        <w:spacing w:after="0"/>
        <w:contextualSpacing/>
      </w:pPr>
      <w:hyperlink r:id="rId11" w:history="1">
        <w:r w:rsidRPr="00BB59F1">
          <w:rPr>
            <w:rStyle w:val="Hyperlink"/>
            <w:rFonts w:ascii="DejaVu Sans" w:hAnsi="DejaVu Sans" w:cs="DejaVu Sans"/>
            <w:color w:val="auto"/>
            <w:sz w:val="22"/>
            <w:szCs w:val="22"/>
            <w:u w:val="none"/>
          </w:rPr>
          <w:t>www</w:t>
        </w:r>
      </w:hyperlink>
      <w:hyperlink r:id="rId12" w:history="1">
        <w:r w:rsidRPr="00BB59F1">
          <w:rPr>
            <w:rStyle w:val="Hyperlink"/>
            <w:rFonts w:ascii="DejaVu Sans" w:hAnsi="DejaVu Sans" w:cs="DejaVu Sans"/>
            <w:color w:val="auto"/>
            <w:sz w:val="22"/>
            <w:szCs w:val="22"/>
            <w:u w:val="none"/>
          </w:rPr>
          <w:t>.</w:t>
        </w:r>
      </w:hyperlink>
      <w:hyperlink r:id="rId13" w:history="1">
        <w:r w:rsidRPr="00BB59F1">
          <w:rPr>
            <w:rStyle w:val="Hyperlink"/>
            <w:rFonts w:ascii="DejaVu Sans" w:hAnsi="DejaVu Sans" w:cs="DejaVu Sans"/>
            <w:color w:val="auto"/>
            <w:sz w:val="22"/>
            <w:szCs w:val="22"/>
            <w:u w:val="none"/>
          </w:rPr>
          <w:t>wikipedia.de</w:t>
        </w:r>
      </w:hyperlink>
    </w:p>
    <w:p w:rsidR="00584027" w:rsidRPr="00BB59F1" w:rsidRDefault="00584027" w:rsidP="00BB59F1">
      <w:pPr>
        <w:pStyle w:val="StandardWeb"/>
        <w:spacing w:after="0"/>
        <w:contextualSpacing/>
      </w:pPr>
      <w:r w:rsidRPr="00BB59F1">
        <w:rPr>
          <w:rFonts w:ascii="DejaVu Sans" w:hAnsi="DejaVu Sans" w:cs="DejaVu Sans"/>
          <w:sz w:val="22"/>
          <w:szCs w:val="22"/>
        </w:rPr>
        <w:t xml:space="preserve">www.wikipedia.org </w:t>
      </w:r>
    </w:p>
    <w:p w:rsidR="00584027" w:rsidRPr="00BB59F1" w:rsidRDefault="00584027" w:rsidP="00BB59F1">
      <w:pPr>
        <w:pStyle w:val="StandardWeb"/>
        <w:spacing w:after="0"/>
        <w:contextualSpacing/>
      </w:pPr>
      <w:r w:rsidRPr="00BB59F1">
        <w:rPr>
          <w:rFonts w:ascii="DejaVu Sans" w:hAnsi="DejaVu Sans" w:cs="DejaVu Sans"/>
          <w:sz w:val="22"/>
          <w:szCs w:val="22"/>
        </w:rPr>
        <w:t xml:space="preserve">www.ci-romero.de </w:t>
      </w:r>
    </w:p>
    <w:p w:rsidR="000216CA" w:rsidRPr="00BB59F1" w:rsidRDefault="000216CA">
      <w:pPr>
        <w:rPr>
          <w:u w:val="single"/>
        </w:rPr>
      </w:pPr>
    </w:p>
    <w:sectPr w:rsidR="000216CA" w:rsidRPr="00BB59F1" w:rsidSect="000216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610"/>
    <w:multiLevelType w:val="multilevel"/>
    <w:tmpl w:val="8E74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6C68F3"/>
    <w:multiLevelType w:val="multilevel"/>
    <w:tmpl w:val="195C3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AA0567"/>
    <w:multiLevelType w:val="multilevel"/>
    <w:tmpl w:val="C4D4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027"/>
    <w:rsid w:val="000216CA"/>
    <w:rsid w:val="004D1BBB"/>
    <w:rsid w:val="004F0037"/>
    <w:rsid w:val="00584027"/>
    <w:rsid w:val="005A54E3"/>
    <w:rsid w:val="00BB59F1"/>
    <w:rsid w:val="00D35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16CA"/>
  </w:style>
  <w:style w:type="paragraph" w:styleId="berschrift3">
    <w:name w:val="heading 3"/>
    <w:basedOn w:val="Standard"/>
    <w:link w:val="berschrift3Zchn"/>
    <w:uiPriority w:val="9"/>
    <w:qFormat/>
    <w:rsid w:val="0058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8402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84027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8402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584027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00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mz.de/de/was_wir_machen/themen/wirtschaft/sozialstandards/kernarbeitsnormen/index.html" TargetMode="External"/><Relationship Id="rId13" Type="http://schemas.openxmlformats.org/officeDocument/2006/relationships/hyperlink" Target="http://www.wikipedia.d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tgerechtes.de/fairein/wiki/infoportal/fairoeko/ilo-kernarbeitsnormen/" TargetMode="External"/><Relationship Id="rId12" Type="http://schemas.openxmlformats.org/officeDocument/2006/relationships/hyperlink" Target="http://www.wikipedia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tgerechtes.de/fairein/wiki/infoportal/klamotten/textilfasern/" TargetMode="External"/><Relationship Id="rId11" Type="http://schemas.openxmlformats.org/officeDocument/2006/relationships/hyperlink" Target="http://www.wikipedia.de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emissionslo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-info.e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wippermannm</dc:creator>
  <cp:lastModifiedBy>wippermannm</cp:lastModifiedBy>
  <cp:revision>4</cp:revision>
  <dcterms:created xsi:type="dcterms:W3CDTF">2014-01-17T09:41:00Z</dcterms:created>
  <dcterms:modified xsi:type="dcterms:W3CDTF">2014-01-17T10:06:00Z</dcterms:modified>
</cp:coreProperties>
</file>